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40" w:lineRule="exact"/>
        <w:jc w:val="both"/>
        <w:textAlignment w:val="auto"/>
        <w:rPr>
          <w:rFonts w:hint="eastAsia" w:ascii="方正小标宋简体" w:hAnsi="方正小标宋简体" w:eastAsia="方正小标宋简体" w:cs="方正小标宋简体"/>
          <w:b w:val="0"/>
          <w:bCs/>
          <w:snapToGrid w:val="0"/>
          <w:color w:val="FF0000"/>
          <w:spacing w:val="60"/>
          <w:sz w:val="52"/>
          <w:szCs w:val="52"/>
        </w:rPr>
      </w:pPr>
    </w:p>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方正小标宋简体" w:hAnsi="宋体" w:eastAsia="方正小标宋简体"/>
          <w:color w:val="FF0000"/>
          <w:spacing w:val="-20"/>
          <w:sz w:val="52"/>
          <w:szCs w:val="52"/>
          <w:lang w:eastAsia="zh-CN"/>
        </w:rPr>
      </w:pPr>
      <w:r>
        <w:rPr>
          <w:rFonts w:hint="eastAsia" w:ascii="方正小标宋简体" w:hAnsi="宋体" w:eastAsia="方正小标宋简体"/>
          <w:color w:val="FF0000"/>
          <w:spacing w:val="-20"/>
          <w:sz w:val="52"/>
          <w:szCs w:val="52"/>
        </w:rPr>
        <w:t>广 西 壮 族 自 治 区</w:t>
      </w:r>
      <w:r>
        <w:rPr>
          <w:rFonts w:hint="eastAsia" w:ascii="方正小标宋简体" w:hAnsi="宋体" w:eastAsia="方正小标宋简体"/>
          <w:color w:val="FF0000"/>
          <w:spacing w:val="-20"/>
          <w:sz w:val="52"/>
          <w:szCs w:val="52"/>
          <w:lang w:val="en-US" w:eastAsia="zh-CN"/>
        </w:rPr>
        <w:t xml:space="preserve"> </w:t>
      </w:r>
      <w:r>
        <w:rPr>
          <w:rFonts w:hint="eastAsia" w:ascii="方正小标宋简体" w:hAnsi="宋体" w:eastAsia="方正小标宋简体"/>
          <w:color w:val="FF0000"/>
          <w:spacing w:val="-20"/>
          <w:sz w:val="52"/>
          <w:szCs w:val="52"/>
          <w:lang w:eastAsia="zh-CN"/>
        </w:rPr>
        <w:t>柳</w:t>
      </w:r>
      <w:r>
        <w:rPr>
          <w:rFonts w:hint="eastAsia" w:ascii="方正小标宋简体" w:hAnsi="宋体" w:eastAsia="方正小标宋简体"/>
          <w:color w:val="FF0000"/>
          <w:spacing w:val="-20"/>
          <w:sz w:val="52"/>
          <w:szCs w:val="52"/>
          <w:lang w:val="en-US" w:eastAsia="zh-CN"/>
        </w:rPr>
        <w:t xml:space="preserve"> </w:t>
      </w:r>
      <w:r>
        <w:rPr>
          <w:rFonts w:hint="eastAsia" w:ascii="方正小标宋简体" w:hAnsi="宋体" w:eastAsia="方正小标宋简体"/>
          <w:color w:val="FF0000"/>
          <w:spacing w:val="-20"/>
          <w:sz w:val="52"/>
          <w:szCs w:val="52"/>
          <w:lang w:eastAsia="zh-CN"/>
        </w:rPr>
        <w:t>州</w:t>
      </w:r>
      <w:r>
        <w:rPr>
          <w:rFonts w:hint="eastAsia" w:ascii="方正小标宋简体" w:hAnsi="宋体" w:eastAsia="方正小标宋简体"/>
          <w:color w:val="FF0000"/>
          <w:spacing w:val="-20"/>
          <w:sz w:val="52"/>
          <w:szCs w:val="52"/>
          <w:lang w:val="en-US" w:eastAsia="zh-CN"/>
        </w:rPr>
        <w:t xml:space="preserve"> </w:t>
      </w:r>
      <w:r>
        <w:rPr>
          <w:rFonts w:hint="eastAsia" w:ascii="方正小标宋简体" w:hAnsi="宋体" w:eastAsia="方正小标宋简体"/>
          <w:color w:val="FF0000"/>
          <w:spacing w:val="-20"/>
          <w:sz w:val="52"/>
          <w:szCs w:val="52"/>
          <w:lang w:eastAsia="zh-CN"/>
        </w:rPr>
        <w:t>市</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方正小标宋简体" w:hAnsi="宋体" w:eastAsia="方正小标宋简体"/>
          <w:color w:val="FF0000"/>
          <w:sz w:val="28"/>
          <w:szCs w:val="28"/>
        </w:rPr>
      </w:pPr>
    </w:p>
    <w:p>
      <w:pPr>
        <w:keepNext w:val="0"/>
        <w:keepLines w:val="0"/>
        <w:pageBreakBefore w:val="0"/>
        <w:widowControl/>
        <w:kinsoku/>
        <w:wordWrap/>
        <w:overflowPunct/>
        <w:topLinePunct w:val="0"/>
        <w:autoSpaceDE/>
        <w:autoSpaceDN/>
        <w:bidi w:val="0"/>
        <w:adjustRightInd/>
        <w:spacing w:line="240" w:lineRule="auto"/>
        <w:jc w:val="center"/>
        <w:textAlignment w:val="auto"/>
        <w:rPr>
          <w:rFonts w:ascii="方正小标宋简体" w:hAnsi="宋体" w:eastAsia="方正小标宋简体"/>
          <w:color w:val="FF0000"/>
          <w:spacing w:val="20"/>
          <w:sz w:val="72"/>
          <w:szCs w:val="72"/>
        </w:rPr>
      </w:pPr>
      <w:r>
        <w:rPr>
          <w:rFonts w:hint="eastAsia" w:ascii="方正小标宋简体" w:hAnsi="宋体" w:eastAsia="方正小标宋简体"/>
          <w:color w:val="FF0000"/>
          <w:spacing w:val="20"/>
          <w:sz w:val="72"/>
          <w:szCs w:val="72"/>
        </w:rPr>
        <w:t>供销合作联社</w:t>
      </w:r>
      <w:r>
        <w:rPr>
          <w:rFonts w:hint="eastAsia" w:ascii="方正小标宋简体" w:hAnsi="宋体" w:eastAsia="方正小标宋简体"/>
          <w:color w:val="FF0000"/>
          <w:spacing w:val="20"/>
          <w:sz w:val="72"/>
          <w:szCs w:val="72"/>
          <w:lang w:val="en-US" w:eastAsia="zh-CN"/>
        </w:rPr>
        <w:t>监事会</w:t>
      </w:r>
      <w:r>
        <w:rPr>
          <w:rFonts w:hint="eastAsia" w:ascii="方正小标宋简体" w:hAnsi="宋体" w:eastAsia="方正小标宋简体"/>
          <w:color w:val="FF0000"/>
          <w:spacing w:val="20"/>
          <w:sz w:val="72"/>
          <w:szCs w:val="72"/>
        </w:rPr>
        <w:t>文件</w:t>
      </w:r>
    </w:p>
    <w:p>
      <w:pPr>
        <w:rPr>
          <w:sz w:val="32"/>
          <w:szCs w:val="32"/>
        </w:rPr>
      </w:pPr>
    </w:p>
    <w:p>
      <w:pPr>
        <w:snapToGrid w:val="0"/>
        <w:spacing w:line="600" w:lineRule="exact"/>
        <w:jc w:val="center"/>
        <w:rPr>
          <w:rFonts w:eastAsia="方正小标宋简体"/>
          <w:sz w:val="44"/>
          <w:szCs w:val="44"/>
        </w:rPr>
      </w:pPr>
      <w:r>
        <w:rPr>
          <w:rFonts w:hint="eastAsia" w:ascii="仿宋_GB2312" w:eastAsia="仿宋_GB2312"/>
          <w:sz w:val="32"/>
          <w:szCs w:val="32"/>
        </w:rPr>
        <w:t>柳供销</w:t>
      </w:r>
      <w:r>
        <w:rPr>
          <w:rFonts w:hint="eastAsia" w:ascii="仿宋_GB2312" w:eastAsia="仿宋_GB2312"/>
          <w:sz w:val="32"/>
          <w:szCs w:val="32"/>
          <w:lang w:eastAsia="zh-CN"/>
        </w:rPr>
        <w:t>监</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号</w:t>
      </w:r>
      <w:bookmarkStart w:id="0" w:name="_GoBack"/>
      <w:bookmarkEnd w:id="0"/>
    </w:p>
    <w:p>
      <w:pPr>
        <w:snapToGrid w:val="0"/>
        <w:spacing w:line="600" w:lineRule="exact"/>
        <w:jc w:val="center"/>
        <w:rPr>
          <w:rFonts w:hint="eastAsia" w:ascii="方正小标宋简体" w:hAnsi="宋体" w:eastAsia="方正小标宋简体"/>
          <w:color w:val="FF0000"/>
          <w:spacing w:val="-20"/>
          <w:sz w:val="52"/>
          <w:szCs w:val="52"/>
        </w:rPr>
      </w:pPr>
      <w:r>
        <w:rPr>
          <w:color w:val="FF0000"/>
          <w:sz w:val="32"/>
          <w:szCs w:val="32"/>
        </w:rPr>
        <mc:AlternateContent>
          <mc:Choice Requires="wps">
            <w:drawing>
              <wp:anchor distT="0" distB="0" distL="114300" distR="114300" simplePos="0" relativeHeight="251665408" behindDoc="0" locked="0" layoutInCell="1" allowOverlap="1">
                <wp:simplePos x="0" y="0"/>
                <wp:positionH relativeFrom="column">
                  <wp:posOffset>196215</wp:posOffset>
                </wp:positionH>
                <wp:positionV relativeFrom="paragraph">
                  <wp:posOffset>56515</wp:posOffset>
                </wp:positionV>
                <wp:extent cx="5172075" cy="952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172075" cy="9525"/>
                        </a:xfrm>
                        <a:prstGeom prst="straightConnector1">
                          <a:avLst/>
                        </a:prstGeom>
                        <a:ln w="381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5.45pt;margin-top:4.45pt;height:0.75pt;width:407.25pt;z-index:251665408;mso-width-relative:page;mso-height-relative:page;" filled="f" stroked="t" coordsize="21600,21600" o:gfxdata="UEsFBgAAAAAAAAAAAAAAAAAAAAAAAFBLAwQKAAAAAACHTuJAAAAAAAAAAAAAAAAABAAAAGRycy9Q&#10;SwMEFAAAAAgAh07iQKxLupnWAAAABwEAAA8AAABkcnMvZG93bnJldi54bWxNjstOwzAQRfdI/IM1&#10;SOyoXQhtmsbpgocQQkht4QPceIgj4nGI3Sb8PcMKVqOre3TnlJvJd+KEQ2wDaZjPFAikOtiWGg3v&#10;b49XOYiYDFnTBUIN3xhhU52flaawYaQdnvapETxCsTAaXEp9IWWsHXoTZ6FH4u4jDN4kjkMj7WBG&#10;HvedvFZqIb1piT840+Odw/pzf/QavrL6/vVJLhced256WL5sn8dto/XlxVytQSSc0h8Mv/qsDhU7&#10;HcKRbBSdhhu1YlJDzofrPLvNQByYUxnIqpT//asfUEsDBBQAAAAIAIdO4kC4BosI9AEAALYDAAAO&#10;AAAAZHJzL2Uyb0RvYy54bWytU0uOEzEQ3SNxB8t70p1GYYZWOrNICBsEkfjsK7a725J/sj3p5BJc&#10;AIkVsAJWs+c0M8MxKLtD+G0Qwgur7Kp6rnr1PL/Ya0V2wgdpTUOnk5ISYZjl0nQNfflife+ckhDB&#10;cFDWiIYeRKAXi7t35oOrRWV7q7jwBEFMqAfX0D5GVxdFYL3QECbWCYPO1noNEY++K7iHAdG1Kqqy&#10;fFAM1nPnLRMh4O1qdNJFxm9bweKztg0iEtVQrC3m3ed9m/ZiMYe68+B6yY5lwD9UoUEafPQEtYII&#10;5NLLP6C0ZN4G28YJs7qwbSuZyD1gN9Pyt26e9+BE7gXJCe5EU/h/sOzpbuOJ5A2tKDGgcUS3b65u&#10;Xr+//fzp+t3V1y9vk/3xA6kSVYMLNWYszcYfT8FtfOp733pNWiXdK1RBZgJ7I/tM9OFEtNhHwvBy&#10;Nj2ryrMZJQx9D2fVLIEXI0pCcz7Ex8JqkoyGhuhBdn1cWmNwotaPL8DuSYhj4veElKwMGRp6/3xa&#10;4sAZoKhaBRFN7bDNYLpcXrBK8rVUKqUE322XypMdoEzW6xLXsaJfwtIrKwj9GJddKQxqby8Nz1Yv&#10;gD8ynMSDQyoNap6marTglCiBXyRZOTKCVH8TibQog+wk7ke2k7W1/JCHkO9RHJm/o5CT+n4+5+wf&#10;323x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xLupnWAAAABwEAAA8AAAAAAAAAAQAgAAAAOAAA&#10;AGRycy9kb3ducmV2LnhtbFBLAQIUABQAAAAIAIdO4kC4BosI9AEAALYDAAAOAAAAAAAAAAEAIAAA&#10;ADsBAABkcnMvZTJvRG9jLnhtbFBLBQYAAAAABgAGAFkBAAChBQAAAAA=&#10;">
                <v:path arrowok="t"/>
                <v:fill on="f" focussize="0,0"/>
                <v:stroke weight="3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eastAsia="zh-CN"/>
        </w:rPr>
        <w:t>柳州市</w:t>
      </w:r>
      <w:r>
        <w:rPr>
          <w:rFonts w:hint="eastAsia" w:ascii="方正小标宋简体" w:eastAsia="方正小标宋简体"/>
          <w:sz w:val="44"/>
          <w:szCs w:val="44"/>
        </w:rPr>
        <w:t>供销合作联社</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监事会202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年工作要点》的通知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rPr>
      </w:pPr>
      <w:r>
        <w:t xml:space="preserve">               </w:t>
      </w:r>
      <w:r>
        <w:rPr>
          <w:rFonts w:eastAsia="楷体"/>
          <w:b/>
          <w:bCs/>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w:t>
      </w:r>
      <w:r>
        <w:rPr>
          <w:rFonts w:hint="eastAsia" w:ascii="楷体_GB2312" w:hAnsi="楷体_GB2312" w:eastAsia="楷体_GB2312" w:cs="楷体_GB2312"/>
          <w:sz w:val="32"/>
          <w:szCs w:val="32"/>
          <w:lang w:eastAsia="zh-CN"/>
        </w:rPr>
        <w:t>县（区）供销社</w:t>
      </w:r>
      <w:r>
        <w:rPr>
          <w:rFonts w:hint="eastAsia" w:ascii="楷体_GB2312" w:hAnsi="楷体_GB2312" w:eastAsia="楷体_GB2312" w:cs="楷体_GB2312"/>
          <w:sz w:val="32"/>
          <w:szCs w:val="32"/>
        </w:rPr>
        <w:t>监事会、</w:t>
      </w:r>
      <w:r>
        <w:rPr>
          <w:rFonts w:hint="eastAsia" w:ascii="楷体_GB2312" w:hAnsi="楷体_GB2312" w:eastAsia="楷体_GB2312" w:cs="楷体_GB2312"/>
          <w:sz w:val="32"/>
          <w:szCs w:val="32"/>
          <w:lang w:eastAsia="zh-CN"/>
        </w:rPr>
        <w:t>市城郊供销社</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柳州市</w:t>
      </w:r>
      <w:r>
        <w:rPr>
          <w:rFonts w:hint="eastAsia" w:ascii="楷体_GB2312" w:hAnsi="楷体_GB2312" w:eastAsia="楷体_GB2312" w:cs="楷体_GB2312"/>
          <w:sz w:val="32"/>
          <w:szCs w:val="32"/>
        </w:rPr>
        <w:t>供销合作联社监事会202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年工作要点》</w:t>
      </w:r>
      <w:r>
        <w:rPr>
          <w:rFonts w:hint="eastAsia" w:ascii="楷体_GB2312" w:hAnsi="楷体_GB2312" w:eastAsia="楷体_GB2312" w:cs="楷体_GB2312"/>
          <w:sz w:val="32"/>
          <w:szCs w:val="32"/>
          <w:lang w:eastAsia="zh-CN"/>
        </w:rPr>
        <w:t>经市联社党组会审议通过，现予以</w:t>
      </w:r>
      <w:r>
        <w:rPr>
          <w:rFonts w:hint="eastAsia" w:ascii="楷体_GB2312" w:hAnsi="楷体_GB2312" w:eastAsia="楷体_GB2312" w:cs="楷体_GB2312"/>
          <w:sz w:val="32"/>
          <w:szCs w:val="32"/>
        </w:rPr>
        <w:t>印发</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请结合各</w:t>
      </w:r>
      <w:r>
        <w:rPr>
          <w:rFonts w:hint="eastAsia" w:ascii="楷体_GB2312" w:hAnsi="楷体_GB2312" w:eastAsia="楷体_GB2312" w:cs="楷体_GB2312"/>
          <w:sz w:val="32"/>
          <w:szCs w:val="32"/>
          <w:lang w:eastAsia="zh-CN"/>
        </w:rPr>
        <w:t>单位</w:t>
      </w:r>
      <w:r>
        <w:rPr>
          <w:rFonts w:hint="eastAsia" w:ascii="楷体_GB2312" w:hAnsi="楷体_GB2312" w:eastAsia="楷体_GB2312" w:cs="楷体_GB2312"/>
          <w:sz w:val="32"/>
          <w:szCs w:val="32"/>
        </w:rPr>
        <w:t>实际，认真贯彻执行。</w:t>
      </w:r>
    </w:p>
    <w:p>
      <w:pPr>
        <w:keepNext w:val="0"/>
        <w:keepLines w:val="0"/>
        <w:pageBreakBefore w:val="0"/>
        <w:widowControl w:val="0"/>
        <w:kinsoku/>
        <w:wordWrap/>
        <w:overflowPunct/>
        <w:topLinePunct w:val="0"/>
        <w:autoSpaceDE/>
        <w:autoSpaceDN/>
        <w:bidi w:val="0"/>
        <w:spacing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 xml:space="preserve">                      </w:t>
      </w:r>
      <w:r>
        <w:rPr>
          <w:rFonts w:hint="eastAsia" w:ascii="楷体_GB2312" w:hAnsi="楷体_GB2312" w:eastAsia="楷体_GB2312" w:cs="楷体_GB2312"/>
          <w:spacing w:val="-4"/>
          <w:sz w:val="32"/>
          <w:szCs w:val="32"/>
          <w:lang w:eastAsia="zh-CN"/>
        </w:rPr>
        <w:t>柳州市</w:t>
      </w:r>
      <w:r>
        <w:rPr>
          <w:rFonts w:hint="eastAsia" w:ascii="楷体_GB2312" w:hAnsi="楷体_GB2312" w:eastAsia="楷体_GB2312" w:cs="楷体_GB2312"/>
          <w:spacing w:val="-4"/>
          <w:sz w:val="32"/>
          <w:szCs w:val="32"/>
        </w:rPr>
        <w:t>供销合作联社监事会</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color w:val="000000" w:themeColor="text1"/>
          <w:sz w:val="32"/>
          <w:szCs w:val="32"/>
          <w14:textFill>
            <w14:solidFill>
              <w14:schemeClr w14:val="tx1"/>
            </w14:solidFill>
          </w14:textFill>
        </w:rPr>
      </w:pPr>
      <w:r>
        <w:rPr>
          <w:rFonts w:hint="eastAsia" w:ascii="楷体_GB2312" w:hAnsi="楷体_GB2312" w:eastAsia="楷体_GB2312" w:cs="楷体_GB2312"/>
          <w:sz w:val="32"/>
          <w:szCs w:val="32"/>
        </w:rPr>
        <w:t xml:space="preserve">                      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rPr>
        <w:t>日</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方正小标宋简体" w:eastAsia="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柳州市</w:t>
      </w:r>
      <w:r>
        <w:rPr>
          <w:rFonts w:hint="eastAsia" w:ascii="方正小标宋简体" w:eastAsia="方正小标宋简体"/>
          <w:color w:val="000000"/>
          <w:sz w:val="44"/>
          <w:szCs w:val="44"/>
        </w:rPr>
        <w:t>供销合作联社监事会202</w:t>
      </w:r>
      <w:r>
        <w:rPr>
          <w:rFonts w:hint="eastAsia" w:ascii="方正小标宋简体" w:eastAsia="方正小标宋简体"/>
          <w:color w:val="000000"/>
          <w:sz w:val="44"/>
          <w:szCs w:val="44"/>
          <w:lang w:val="en-US" w:eastAsia="zh-CN"/>
        </w:rPr>
        <w:t>4</w:t>
      </w:r>
      <w:r>
        <w:rPr>
          <w:rFonts w:hint="eastAsia" w:ascii="方正小标宋简体" w:eastAsia="方正小标宋简体"/>
          <w:color w:val="000000"/>
          <w:sz w:val="44"/>
          <w:szCs w:val="44"/>
        </w:rPr>
        <w:t>年工作要点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2024年监事会工作的总体要求是：</w:t>
      </w:r>
      <w:r>
        <w:rPr>
          <w:rFonts w:hint="eastAsia" w:ascii="仿宋_GB2312" w:hAnsi="仿宋_GB2312" w:eastAsia="仿宋_GB2312" w:cs="仿宋_GB2312"/>
          <w:b w:val="0"/>
          <w:bCs w:val="0"/>
          <w:sz w:val="32"/>
          <w:szCs w:val="32"/>
        </w:rPr>
        <w:t>坚持以习近平新时代中国特色社会主义思想为指导，以高质量党建引领监事会工作高质量发展</w:t>
      </w:r>
      <w:r>
        <w:rPr>
          <w:rFonts w:hint="default" w:ascii="仿宋_GB2312" w:hAnsi="仿宋_GB2312" w:eastAsia="仿宋_GB2312" w:cs="仿宋_GB2312"/>
          <w:b w:val="0"/>
          <w:bCs w:val="0"/>
          <w:sz w:val="32"/>
          <w:szCs w:val="32"/>
          <w:lang w:val="en" w:eastAsia="zh-CN"/>
        </w:rPr>
        <w:t>,</w:t>
      </w:r>
      <w:r>
        <w:rPr>
          <w:rFonts w:hint="eastAsia" w:ascii="仿宋_GB2312" w:hAnsi="仿宋_GB2312" w:eastAsia="仿宋_GB2312" w:cs="仿宋_GB2312"/>
          <w:sz w:val="32"/>
          <w:szCs w:val="32"/>
        </w:rPr>
        <w:t>深入贯彻习近平总书记关于“三农”工作的重要论述和供销合作社工作的重要指示批示精神，围绕供销社中心任务，切实履行好调查研究、监督检查、系统指导等职责，结合实际创造性开展工作，助力</w:t>
      </w:r>
      <w:r>
        <w:rPr>
          <w:rFonts w:hint="eastAsia" w:ascii="仿宋_GB2312" w:hAnsi="仿宋_GB2312" w:eastAsia="仿宋_GB2312" w:cs="仿宋_GB2312"/>
          <w:sz w:val="32"/>
          <w:szCs w:val="32"/>
          <w:lang w:eastAsia="zh-CN"/>
        </w:rPr>
        <w:t>市联社</w:t>
      </w:r>
      <w:r>
        <w:rPr>
          <w:rFonts w:hint="eastAsia" w:ascii="仿宋_GB2312" w:hAnsi="仿宋_GB2312" w:eastAsia="仿宋_GB2312" w:cs="仿宋_GB2312"/>
          <w:sz w:val="32"/>
          <w:szCs w:val="32"/>
        </w:rPr>
        <w:t>重点工作的落实，有力有效地推进供销合作事业高质量发展。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000000"/>
          <w:sz w:val="32"/>
          <w:szCs w:val="32"/>
          <w:lang w:eastAsia="zh-CN"/>
        </w:rPr>
        <w:t>（一）</w:t>
      </w:r>
      <w:r>
        <w:rPr>
          <w:rFonts w:hint="eastAsia" w:ascii="楷体_GB2312" w:hAnsi="楷体_GB2312" w:eastAsia="楷体_GB2312" w:cs="楷体_GB2312"/>
          <w:b w:val="0"/>
          <w:bCs w:val="0"/>
          <w:sz w:val="32"/>
          <w:szCs w:val="32"/>
        </w:rPr>
        <w:t>以高质量党建引领高质量发展</w:t>
      </w:r>
      <w:r>
        <w:rPr>
          <w:rFonts w:hint="eastAsia" w:ascii="楷体_GB2312" w:hAnsi="楷体_GB2312" w:eastAsia="楷体_GB2312" w:cs="楷体_GB2312"/>
          <w:b w:val="0"/>
          <w:bCs w:val="0"/>
          <w:sz w:val="32"/>
          <w:szCs w:val="32"/>
          <w:lang w:val="en" w:eastAsia="zh-CN"/>
        </w:rPr>
        <w:t>,把准监事会工作的正确方向。</w:t>
      </w:r>
      <w:r>
        <w:rPr>
          <w:rFonts w:hint="eastAsia" w:ascii="仿宋_GB2312" w:hAnsi="仿宋_GB2312" w:eastAsia="仿宋_GB2312" w:cs="仿宋_GB2312"/>
          <w:b w:val="0"/>
          <w:bCs w:val="0"/>
          <w:sz w:val="32"/>
          <w:szCs w:val="32"/>
          <w:lang w:val="en" w:eastAsia="zh-CN"/>
        </w:rPr>
        <w:t>深化拓展主题教育成果，完整准确全面把握</w:t>
      </w:r>
      <w:r>
        <w:rPr>
          <w:rFonts w:hint="eastAsia" w:ascii="仿宋_GB2312" w:hAnsi="仿宋_GB2312" w:eastAsia="仿宋_GB2312" w:cs="仿宋_GB2312"/>
          <w:b w:val="0"/>
          <w:bCs w:val="0"/>
          <w:sz w:val="32"/>
          <w:szCs w:val="32"/>
        </w:rPr>
        <w:t>新时代中国特色社会主义思想</w:t>
      </w:r>
      <w:r>
        <w:rPr>
          <w:rFonts w:hint="eastAsia" w:ascii="仿宋_GB2312" w:hAnsi="仿宋_GB2312" w:eastAsia="仿宋_GB2312" w:cs="仿宋_GB2312"/>
          <w:b w:val="0"/>
          <w:bCs w:val="0"/>
          <w:sz w:val="32"/>
          <w:szCs w:val="32"/>
          <w:lang w:eastAsia="zh-CN"/>
        </w:rPr>
        <w:t>的核心要义和实践要求，</w:t>
      </w:r>
      <w:r>
        <w:rPr>
          <w:rFonts w:hint="eastAsia" w:ascii="仿宋_GB2312" w:hAnsi="仿宋_GB2312" w:eastAsia="仿宋_GB2312" w:cs="仿宋_GB2312"/>
          <w:b w:val="0"/>
          <w:bCs w:val="0"/>
          <w:sz w:val="32"/>
          <w:szCs w:val="32"/>
          <w:lang w:val="en" w:eastAsia="zh-CN"/>
        </w:rPr>
        <w:t>把准监事会工作的正确方向。不断提高用党的创新理论解决实际问题的能力，在开展监督检查、调查研究过程中，坚持对标对表，认真贯彻落实中央和上级决策部署，把高质量发展的要求贯穿工作的全过程、各方面。以新时代</w:t>
      </w:r>
      <w:r>
        <w:rPr>
          <w:rFonts w:hint="eastAsia" w:ascii="仿宋_GB2312" w:hAnsi="仿宋_GB2312" w:eastAsia="仿宋_GB2312" w:cs="仿宋_GB2312"/>
          <w:b w:val="0"/>
          <w:bCs w:val="0"/>
          <w:sz w:val="32"/>
          <w:szCs w:val="32"/>
        </w:rPr>
        <w:t>中国特色社会主义思想</w:t>
      </w:r>
      <w:r>
        <w:rPr>
          <w:rFonts w:hint="eastAsia" w:ascii="仿宋_GB2312" w:hAnsi="仿宋_GB2312" w:eastAsia="仿宋_GB2312" w:cs="仿宋_GB2312"/>
          <w:b w:val="0"/>
          <w:bCs w:val="0"/>
          <w:sz w:val="32"/>
          <w:szCs w:val="32"/>
          <w:lang w:eastAsia="zh-CN"/>
        </w:rPr>
        <w:t>统领监事会工作，围绕落实供销合作社综合改革年度重点工作任务，</w:t>
      </w:r>
      <w:r>
        <w:rPr>
          <w:rFonts w:hint="eastAsia" w:ascii="仿宋_GB2312" w:hAnsi="仿宋_GB2312" w:eastAsia="仿宋_GB2312" w:cs="仿宋_GB2312"/>
          <w:b w:val="0"/>
          <w:bCs w:val="0"/>
          <w:sz w:val="32"/>
          <w:szCs w:val="32"/>
          <w:lang w:val="en" w:eastAsia="zh-CN"/>
        </w:rPr>
        <w:t>找准监事会工作与中心工作的结合点，履行好新时代监事会的职责使命，努力在推动监事会工作高质量发展上展现更大作为。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000000"/>
          <w:sz w:val="32"/>
          <w:szCs w:val="32"/>
          <w:lang w:eastAsia="zh-CN"/>
        </w:rPr>
        <w:t>（二）</w:t>
      </w:r>
      <w:r>
        <w:rPr>
          <w:rFonts w:hint="eastAsia" w:ascii="楷体_GB2312" w:hAnsi="楷体_GB2312" w:eastAsia="楷体_GB2312" w:cs="楷体_GB2312"/>
          <w:b w:val="0"/>
          <w:bCs w:val="0"/>
          <w:sz w:val="32"/>
          <w:szCs w:val="32"/>
          <w:lang w:eastAsia="zh-CN"/>
        </w:rPr>
        <w:t>持续推进监事会</w:t>
      </w:r>
      <w:r>
        <w:rPr>
          <w:rFonts w:hint="eastAsia" w:ascii="楷体_GB2312" w:hAnsi="楷体_GB2312" w:eastAsia="楷体_GB2312" w:cs="楷体_GB2312"/>
          <w:b w:val="0"/>
          <w:bCs w:val="0"/>
          <w:sz w:val="32"/>
          <w:szCs w:val="32"/>
        </w:rPr>
        <w:t>体制机制建设</w:t>
      </w:r>
      <w:r>
        <w:rPr>
          <w:rFonts w:hint="default" w:ascii="楷体_GB2312" w:hAnsi="楷体_GB2312" w:eastAsia="楷体_GB2312" w:cs="楷体_GB2312"/>
          <w:b w:val="0"/>
          <w:bCs w:val="0"/>
          <w:sz w:val="32"/>
          <w:szCs w:val="32"/>
          <w:lang w:val="en" w:eastAsia="zh-CN"/>
        </w:rPr>
        <w:t>,</w:t>
      </w:r>
      <w:r>
        <w:rPr>
          <w:rFonts w:hint="eastAsia" w:ascii="楷体_GB2312" w:hAnsi="楷体_GB2312" w:eastAsia="楷体_GB2312" w:cs="楷体_GB2312"/>
          <w:b w:val="0"/>
          <w:bCs w:val="0"/>
          <w:sz w:val="32"/>
          <w:szCs w:val="32"/>
          <w:lang w:val="en" w:eastAsia="zh-CN"/>
        </w:rPr>
        <w:t>为监督工作高质量发展提供根本保证。</w:t>
      </w:r>
      <w:r>
        <w:rPr>
          <w:rFonts w:hint="eastAsia" w:ascii="仿宋_GB2312" w:hAnsi="仿宋_GB2312" w:eastAsia="仿宋_GB2312" w:cs="仿宋_GB2312"/>
          <w:b w:val="0"/>
          <w:bCs w:val="0"/>
          <w:sz w:val="32"/>
          <w:szCs w:val="32"/>
          <w:lang w:eastAsia="zh-CN"/>
        </w:rPr>
        <w:t>锚定高质量发展目标，助力供销合作社综合改革取得新的更大成效。</w:t>
      </w:r>
      <w:r>
        <w:rPr>
          <w:rFonts w:hint="eastAsia" w:ascii="仿宋_GB2312" w:hAnsi="仿宋_GB2312" w:eastAsia="仿宋_GB2312" w:cs="仿宋_GB2312"/>
          <w:sz w:val="32"/>
          <w:szCs w:val="32"/>
        </w:rPr>
        <w:t>坚持抓组织建设、落实制度建设，夯实高质量发展的基础</w:t>
      </w:r>
      <w:r>
        <w:rPr>
          <w:rFonts w:hint="eastAsia" w:ascii="仿宋_GB2312" w:hAnsi="仿宋_GB2312" w:eastAsia="仿宋_GB2312" w:cs="仿宋_GB2312"/>
          <w:sz w:val="32"/>
          <w:szCs w:val="32"/>
          <w:lang w:eastAsia="zh-CN"/>
        </w:rPr>
        <w:t>，进一步健全完善监事会工作系列基础制度。对标高质量发展的要求，确立制度建设的整体框架，密切跟踪制度的实施效果，结合工作实际变化，及时修订完善。指导督促基层社监事会履行工作职责，进一步压实监督责任，做到监督工作全覆盖。</w:t>
      </w:r>
      <w:r>
        <w:rPr>
          <w:rFonts w:hint="eastAsia" w:ascii="仿宋_GB2312" w:hAnsi="仿宋_GB2312" w:eastAsia="仿宋_GB2312" w:cs="仿宋_GB2312"/>
          <w:color w:val="000000"/>
          <w:sz w:val="32"/>
          <w:szCs w:val="32"/>
        </w:rPr>
        <w:t>完善</w:t>
      </w:r>
      <w:r>
        <w:rPr>
          <w:rFonts w:hint="eastAsia" w:ascii="仿宋_GB2312" w:hAnsi="仿宋_GB2312" w:eastAsia="仿宋_GB2312" w:cs="仿宋_GB2312"/>
          <w:color w:val="000000"/>
          <w:sz w:val="32"/>
          <w:szCs w:val="32"/>
          <w:lang w:eastAsia="zh-CN"/>
        </w:rPr>
        <w:t>社有企业</w:t>
      </w:r>
      <w:r>
        <w:rPr>
          <w:rFonts w:hint="eastAsia" w:ascii="仿宋_GB2312" w:hAnsi="仿宋_GB2312" w:eastAsia="仿宋_GB2312" w:cs="仿宋_GB2312"/>
          <w:color w:val="000000"/>
          <w:kern w:val="0"/>
          <w:sz w:val="32"/>
          <w:szCs w:val="32"/>
        </w:rPr>
        <w:t>“三会一层”</w:t>
      </w:r>
      <w:r>
        <w:rPr>
          <w:rFonts w:hint="eastAsia" w:ascii="仿宋_GB2312" w:hAnsi="仿宋_GB2312" w:eastAsia="仿宋_GB2312" w:cs="仿宋_GB2312"/>
          <w:color w:val="000000"/>
          <w:sz w:val="32"/>
          <w:szCs w:val="32"/>
          <w:lang w:eastAsia="zh-CN"/>
        </w:rPr>
        <w:t>法人治理结构，</w:t>
      </w:r>
      <w:r>
        <w:rPr>
          <w:rFonts w:hint="eastAsia" w:ascii="仿宋_GB2312" w:hAnsi="仿宋_GB2312" w:eastAsia="仿宋_GB2312" w:cs="仿宋_GB2312"/>
          <w:sz w:val="32"/>
          <w:szCs w:val="32"/>
        </w:rPr>
        <w:t>继续推</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社有企业一把手接受监事问询工作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的开展，提高对社有企业监督的精准性、针对性和实效性。</w:t>
      </w:r>
      <w:r>
        <w:rPr>
          <w:rFonts w:hint="eastAsia" w:ascii="仿宋_GB2312" w:hAnsi="仿宋_GB2312" w:eastAsia="仿宋_GB2312" w:cs="仿宋_GB2312"/>
          <w:color w:val="000000"/>
          <w:sz w:val="32"/>
          <w:szCs w:val="32"/>
          <w:lang w:eastAsia="zh-CN"/>
        </w:rPr>
        <w:t>督促指导社有企业按照现代企业制度要求，完善社有企业“三会一层”法人治理结构，理顺企业体制机制，强化企业内部管理，建立健全企业监事会组织机构，配齐配强企业监事，维护好各级联社出资人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color w:val="000000"/>
          <w:sz w:val="32"/>
          <w:szCs w:val="32"/>
          <w:lang w:eastAsia="zh-CN"/>
        </w:rPr>
        <w:t>（三）</w:t>
      </w:r>
      <w:r>
        <w:rPr>
          <w:rFonts w:hint="eastAsia" w:ascii="楷体_GB2312" w:hAnsi="楷体_GB2312" w:eastAsia="楷体_GB2312" w:cs="楷体_GB2312"/>
          <w:b w:val="0"/>
          <w:bCs w:val="0"/>
          <w:sz w:val="32"/>
          <w:szCs w:val="32"/>
          <w:lang w:eastAsia="zh-CN"/>
        </w:rPr>
        <w:t>持续强化对</w:t>
      </w:r>
      <w:r>
        <w:rPr>
          <w:rFonts w:hint="eastAsia" w:ascii="楷体_GB2312" w:hAnsi="楷体_GB2312" w:eastAsia="楷体_GB2312" w:cs="楷体_GB2312"/>
          <w:b w:val="0"/>
          <w:bCs w:val="0"/>
          <w:sz w:val="32"/>
          <w:szCs w:val="32"/>
        </w:rPr>
        <w:t>社有资产保值增值</w:t>
      </w:r>
      <w:r>
        <w:rPr>
          <w:rFonts w:hint="eastAsia" w:ascii="楷体_GB2312" w:hAnsi="楷体_GB2312" w:eastAsia="楷体_GB2312" w:cs="楷体_GB2312"/>
          <w:b w:val="0"/>
          <w:bCs w:val="0"/>
          <w:sz w:val="32"/>
          <w:szCs w:val="32"/>
          <w:lang w:eastAsia="zh-CN"/>
        </w:rPr>
        <w:t>情况的监督，确保供销工作行稳致远。</w:t>
      </w:r>
      <w:r>
        <w:rPr>
          <w:rFonts w:hint="eastAsia" w:ascii="仿宋_GB2312" w:hAnsi="仿宋_GB2312" w:eastAsia="仿宋_GB2312" w:cs="仿宋_GB2312"/>
          <w:sz w:val="32"/>
          <w:szCs w:val="32"/>
          <w:lang w:eastAsia="zh-CN"/>
        </w:rPr>
        <w:t>统筹好发展和安全两件大事，深化对社有资产保值增值情况的监督，推进供销合作社高质量发展，严格防范社有资产风险的发生。一是强化对社有资产的监督，把监督重点聚焦在企业经营决策流程是否合规、投融资行为是否规范、内控机制是否完善等方面，在监督过程中要切实统筹好高质量发展和高水平安全。二是强化对财政扶持项目资金使用的监督，严格执行财政资金管理规定，加强对“新网工程”、综合改革等财政资金的跟踪问效，压紧压实资金使用和项目实施运营责任。三是强化对重大项目及重大事项的监督，县区社监事会要与理事会紧密配合，坚持同题共答，目标同向，形成合力，参与重大事项决策，确保本级联社党组、理事会重大事项、重要决策落实到位，促进各项工作扎实有效开展。</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sz w:val="32"/>
          <w:szCs w:val="32"/>
          <w:lang w:eastAsia="zh-CN"/>
        </w:rPr>
        <w:t>（四）</w:t>
      </w:r>
      <w:r>
        <w:rPr>
          <w:rFonts w:hint="eastAsia" w:ascii="楷体_GB2312" w:hAnsi="楷体_GB2312" w:eastAsia="楷体_GB2312" w:cs="楷体_GB2312"/>
          <w:b w:val="0"/>
          <w:bCs w:val="0"/>
          <w:color w:val="000000"/>
          <w:sz w:val="32"/>
          <w:szCs w:val="32"/>
        </w:rPr>
        <w:t>整合监督资源，</w:t>
      </w:r>
      <w:r>
        <w:rPr>
          <w:rFonts w:hint="eastAsia" w:ascii="楷体_GB2312" w:hAnsi="楷体_GB2312" w:eastAsia="楷体_GB2312" w:cs="楷体_GB2312"/>
          <w:b w:val="0"/>
          <w:bCs w:val="0"/>
          <w:color w:val="000000"/>
          <w:sz w:val="32"/>
          <w:szCs w:val="32"/>
          <w:lang w:eastAsia="zh-CN"/>
        </w:rPr>
        <w:t>切实</w:t>
      </w:r>
      <w:r>
        <w:rPr>
          <w:rFonts w:hint="eastAsia" w:ascii="楷体_GB2312" w:hAnsi="楷体_GB2312" w:eastAsia="楷体_GB2312" w:cs="楷体_GB2312"/>
          <w:b w:val="0"/>
          <w:bCs w:val="0"/>
          <w:color w:val="000000"/>
          <w:sz w:val="32"/>
          <w:szCs w:val="32"/>
        </w:rPr>
        <w:t>发挥</w:t>
      </w:r>
      <w:r>
        <w:rPr>
          <w:rFonts w:hint="eastAsia" w:ascii="楷体_GB2312" w:hAnsi="楷体_GB2312" w:eastAsia="楷体_GB2312" w:cs="楷体_GB2312"/>
          <w:b w:val="0"/>
          <w:bCs w:val="0"/>
          <w:color w:val="000000"/>
          <w:sz w:val="32"/>
          <w:szCs w:val="32"/>
          <w:lang w:eastAsia="zh-CN"/>
        </w:rPr>
        <w:t>好</w:t>
      </w:r>
      <w:r>
        <w:rPr>
          <w:rFonts w:hint="eastAsia" w:ascii="楷体_GB2312" w:hAnsi="楷体_GB2312" w:eastAsia="楷体_GB2312" w:cs="楷体_GB2312"/>
          <w:b w:val="0"/>
          <w:bCs w:val="0"/>
          <w:color w:val="000000"/>
          <w:sz w:val="32"/>
          <w:szCs w:val="32"/>
        </w:rPr>
        <w:t>审计监督的作用</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eastAsia="zh-CN"/>
        </w:rPr>
        <w:t>切实发挥好审计监督的重要作用，以经济责任审计为主线，加强社有资产的监督。</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社有企事业单位</w:t>
      </w:r>
      <w:r>
        <w:rPr>
          <w:rFonts w:hint="eastAsia" w:ascii="仿宋_GB2312" w:hAnsi="仿宋_GB2312" w:eastAsia="仿宋_GB2312" w:cs="仿宋_GB2312"/>
          <w:color w:val="000000"/>
          <w:sz w:val="32"/>
          <w:szCs w:val="32"/>
          <w:lang w:eastAsia="zh-CN"/>
        </w:rPr>
        <w:t>法人</w:t>
      </w:r>
      <w:r>
        <w:rPr>
          <w:rFonts w:hint="eastAsia" w:ascii="仿宋_GB2312" w:hAnsi="仿宋_GB2312" w:eastAsia="仿宋_GB2312" w:cs="仿宋_GB2312"/>
          <w:color w:val="000000"/>
          <w:sz w:val="32"/>
          <w:szCs w:val="32"/>
        </w:rPr>
        <w:t>履行经济责任情况任期内至少审计1次，同时做到“凡离必审”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Cs/>
          <w:color w:val="000000"/>
          <w:sz w:val="32"/>
          <w:szCs w:val="32"/>
        </w:rPr>
        <w:t>强化</w:t>
      </w:r>
      <w:r>
        <w:rPr>
          <w:rFonts w:hint="eastAsia" w:ascii="仿宋_GB2312" w:hAnsi="仿宋_GB2312" w:eastAsia="仿宋_GB2312" w:cs="仿宋_GB2312"/>
          <w:bCs/>
          <w:color w:val="000000"/>
          <w:sz w:val="32"/>
          <w:szCs w:val="32"/>
          <w:lang w:eastAsia="zh-CN"/>
        </w:rPr>
        <w:t>对社有资产和财政专项资金的监管，</w:t>
      </w:r>
      <w:r>
        <w:rPr>
          <w:rFonts w:hint="eastAsia" w:ascii="仿宋_GB2312" w:hAnsi="仿宋_GB2312" w:eastAsia="仿宋_GB2312" w:cs="仿宋_GB2312"/>
          <w:color w:val="000000"/>
          <w:sz w:val="32"/>
          <w:szCs w:val="32"/>
        </w:rPr>
        <w:t>建立和健全内部审计制度，建立健全经常性审计机制</w:t>
      </w:r>
      <w:r>
        <w:rPr>
          <w:rFonts w:hint="eastAsia" w:ascii="仿宋_GB2312" w:hAnsi="仿宋_GB2312" w:eastAsia="仿宋_GB2312" w:cs="仿宋_GB2312"/>
          <w:color w:val="000000"/>
          <w:sz w:val="32"/>
          <w:szCs w:val="32"/>
          <w:lang w:eastAsia="zh-CN"/>
        </w:rPr>
        <w:t>。积极配合上级社做好对财政资金项目的抽查审计，确保财政资金安全规范有效使用。</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聚焦建立健全审计查出问题整改机制，做好审计整改“下半篇”文章。进一步完善制度，规范管理，全面提升审计成果运用水平。</w:t>
      </w:r>
      <w:r>
        <w:rPr>
          <w:rFonts w:hint="eastAsia" w:ascii="仿宋_GB2312" w:hAnsi="仿宋_GB2312" w:eastAsia="仿宋_GB2312" w:cs="仿宋_GB2312"/>
          <w:snapToGrid w:val="0"/>
          <w:color w:val="000000"/>
          <w:kern w:val="2"/>
          <w:sz w:val="32"/>
          <w:szCs w:val="32"/>
        </w:rPr>
        <w:t>进一步整合监督资源，形成监督合力，提高监督效率，</w:t>
      </w:r>
      <w:r>
        <w:rPr>
          <w:rFonts w:hint="eastAsia" w:ascii="仿宋_GB2312" w:hAnsi="仿宋_GB2312" w:eastAsia="仿宋_GB2312" w:cs="仿宋_GB2312"/>
          <w:color w:val="000000"/>
          <w:sz w:val="32"/>
          <w:szCs w:val="32"/>
        </w:rPr>
        <w:t>定</w:t>
      </w:r>
      <w:r>
        <w:rPr>
          <w:rFonts w:hint="eastAsia" w:ascii="仿宋_GB2312" w:hAnsi="仿宋_GB2312" w:eastAsia="仿宋_GB2312" w:cs="仿宋_GB2312"/>
          <w:color w:val="000000"/>
          <w:sz w:val="32"/>
          <w:szCs w:val="32"/>
          <w:lang w:eastAsia="zh-CN"/>
        </w:rPr>
        <w:t>期召开</w:t>
      </w:r>
      <w:r>
        <w:rPr>
          <w:rFonts w:hint="eastAsia" w:ascii="仿宋_GB2312" w:hAnsi="仿宋_GB2312" w:eastAsia="仿宋_GB2312" w:cs="仿宋_GB2312"/>
          <w:color w:val="000000"/>
          <w:sz w:val="32"/>
          <w:szCs w:val="32"/>
        </w:rPr>
        <w:t>监督工作联席会议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协调各成员单位的监督工作</w:t>
      </w:r>
      <w:r>
        <w:rPr>
          <w:rFonts w:hint="eastAsia" w:ascii="仿宋_GB2312" w:hAnsi="仿宋_GB2312" w:eastAsia="仿宋_GB2312" w:cs="仿宋_GB2312"/>
          <w:color w:val="000000"/>
          <w:sz w:val="32"/>
          <w:szCs w:val="32"/>
          <w:lang w:eastAsia="zh-CN"/>
        </w:rPr>
        <w:t>，发挥监事会的</w:t>
      </w:r>
      <w:r>
        <w:rPr>
          <w:rFonts w:hint="eastAsia" w:ascii="仿宋_GB2312" w:hAnsi="仿宋_GB2312" w:eastAsia="仿宋_GB2312" w:cs="仿宋_GB2312"/>
          <w:color w:val="000000"/>
          <w:sz w:val="32"/>
          <w:szCs w:val="32"/>
        </w:rPr>
        <w:t>监督职能</w:t>
      </w:r>
      <w:r>
        <w:rPr>
          <w:rFonts w:hint="eastAsia" w:ascii="仿宋_GB2312" w:hAnsi="仿宋_GB2312" w:eastAsia="仿宋_GB2312" w:cs="仿宋_GB2312"/>
          <w:color w:val="000000"/>
          <w:sz w:val="32"/>
          <w:szCs w:val="32"/>
          <w:lang w:eastAsia="zh-CN"/>
        </w:rPr>
        <w:t>作用</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color w:val="000000"/>
          <w:sz w:val="32"/>
          <w:szCs w:val="32"/>
          <w:lang w:eastAsia="zh-CN"/>
        </w:rPr>
        <w:t>（五）</w:t>
      </w:r>
      <w:r>
        <w:rPr>
          <w:rFonts w:hint="eastAsia" w:ascii="楷体_GB2312" w:hAnsi="楷体_GB2312" w:eastAsia="楷体_GB2312" w:cs="楷体_GB2312"/>
          <w:b w:val="0"/>
          <w:bCs/>
          <w:snapToGrid w:val="0"/>
          <w:kern w:val="32"/>
          <w:sz w:val="32"/>
          <w:szCs w:val="32"/>
        </w:rPr>
        <w:t>坚持问题导向深入开展调研，不断提高建言献策水平。</w:t>
      </w:r>
      <w:r>
        <w:rPr>
          <w:rFonts w:hint="eastAsia" w:ascii="仿宋_GB2312" w:hAnsi="仿宋_GB2312" w:eastAsia="仿宋_GB2312" w:cs="仿宋_GB2312"/>
          <w:sz w:val="32"/>
          <w:szCs w:val="32"/>
        </w:rPr>
        <w:t>围绕经济建设中心工作开展调研，聚焦新时期“三农”工作的重点，</w:t>
      </w:r>
      <w:r>
        <w:rPr>
          <w:rFonts w:hint="default" w:ascii="Times New Roman" w:hAnsi="Times New Roman" w:eastAsia="仿宋_GB2312" w:cs="Times New Roman"/>
          <w:color w:val="000000" w:themeColor="text1"/>
          <w14:textFill>
            <w14:solidFill>
              <w14:schemeClr w14:val="tx1"/>
            </w14:solidFill>
          </w14:textFill>
        </w:rPr>
        <w:t>总结和推广</w:t>
      </w:r>
      <w:r>
        <w:rPr>
          <w:rFonts w:hint="eastAsia" w:ascii="Times New Roman" w:hAnsi="Times New Roman" w:eastAsia="仿宋_GB2312" w:cs="Times New Roman"/>
          <w:color w:val="000000" w:themeColor="text1"/>
          <w:lang w:eastAsia="zh-CN"/>
          <w14:textFill>
            <w14:solidFill>
              <w14:schemeClr w14:val="tx1"/>
            </w14:solidFill>
          </w14:textFill>
        </w:rPr>
        <w:t>本</w:t>
      </w:r>
      <w:r>
        <w:rPr>
          <w:rFonts w:hint="default" w:ascii="Times New Roman" w:hAnsi="Times New Roman" w:eastAsia="仿宋_GB2312" w:cs="Times New Roman"/>
          <w:color w:val="000000" w:themeColor="text1"/>
          <w14:textFill>
            <w14:solidFill>
              <w14:schemeClr w14:val="tx1"/>
            </w14:solidFill>
          </w14:textFill>
        </w:rPr>
        <w:t>地综合改革工作的成功经验和先进典型，发现和思考影响制约供销社改革发展的关键问题，分析问题存在的根源，积极提出对策和建议</w:t>
      </w:r>
      <w:r>
        <w:rPr>
          <w:rFonts w:hint="eastAsia" w:ascii="Times New Roman" w:hAnsi="Times New Roman" w:eastAsia="仿宋_GB2312" w:cs="Times New Roman"/>
          <w:color w:val="000000" w:themeColor="text1"/>
          <w:lang w:eastAsia="zh-CN"/>
          <w14:textFill>
            <w14:solidFill>
              <w14:schemeClr w14:val="tx1"/>
            </w14:solidFill>
          </w14:textFill>
        </w:rPr>
        <w:t>，</w:t>
      </w:r>
      <w:r>
        <w:rPr>
          <w:rFonts w:hint="eastAsia" w:ascii="仿宋_GB2312" w:hAnsi="仿宋_GB2312" w:eastAsia="仿宋_GB2312" w:cs="仿宋_GB2312"/>
          <w:sz w:val="32"/>
          <w:szCs w:val="32"/>
        </w:rPr>
        <w:t>形成高质量的调研成果，不断提高建言献策的质量</w:t>
      </w:r>
      <w:r>
        <w:rPr>
          <w:rFonts w:hint="eastAsia" w:ascii="仿宋_GB2312" w:hAnsi="仿宋_GB2312" w:eastAsia="仿宋_GB2312" w:cs="仿宋_GB2312"/>
          <w:sz w:val="32"/>
          <w:szCs w:val="32"/>
          <w:lang w:eastAsia="zh-CN"/>
        </w:rPr>
        <w:t>。高度重视社情民意收集整理工作，加强对社情民意的归纳、整理、分析，提高信息报送质量，充分发挥社情民意信息的作用，增强社情民意信息的实效。</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000000"/>
          <w:sz w:val="32"/>
          <w:szCs w:val="32"/>
          <w:lang w:eastAsia="zh-CN"/>
        </w:rPr>
        <w:t>（六）进一步提升监事会干部队伍的综合素质，切实做好新时期监事会监督工作。</w:t>
      </w:r>
      <w:r>
        <w:rPr>
          <w:rFonts w:hint="eastAsia" w:ascii="仿宋_GB2312" w:hAnsi="仿宋_GB2312" w:eastAsia="仿宋_GB2312" w:cs="仿宋_GB2312"/>
          <w:color w:val="000000"/>
          <w:sz w:val="32"/>
          <w:szCs w:val="32"/>
          <w:lang w:eastAsia="zh-CN"/>
        </w:rPr>
        <w:t>把学习贯彻习近平新时代中国特色社会主义思想作为监事会干部教育培训主题主线，把专业能力作为监事会干部队伍能力建设的重要内容，把教育培训作为增强本领的有效途径。继续</w:t>
      </w:r>
      <w:r>
        <w:rPr>
          <w:rFonts w:hint="eastAsia" w:ascii="仿宋_GB2312" w:hAnsi="仿宋_GB2312" w:eastAsia="仿宋_GB2312" w:cs="仿宋_GB2312"/>
          <w:color w:val="000000"/>
          <w:sz w:val="32"/>
          <w:szCs w:val="32"/>
        </w:rPr>
        <w:t>做好对各县区</w:t>
      </w:r>
      <w:r>
        <w:rPr>
          <w:rFonts w:hint="eastAsia" w:ascii="仿宋_GB2312" w:hAnsi="仿宋_GB2312" w:eastAsia="仿宋_GB2312" w:cs="仿宋_GB2312"/>
          <w:color w:val="000000"/>
          <w:sz w:val="32"/>
          <w:szCs w:val="32"/>
          <w:lang w:eastAsia="zh-CN"/>
        </w:rPr>
        <w:t>供销社</w:t>
      </w:r>
      <w:r>
        <w:rPr>
          <w:rFonts w:hint="eastAsia" w:ascii="仿宋_GB2312" w:hAnsi="仿宋_GB2312" w:eastAsia="仿宋_GB2312" w:cs="仿宋_GB2312"/>
          <w:color w:val="000000"/>
          <w:sz w:val="32"/>
          <w:szCs w:val="32"/>
        </w:rPr>
        <w:t>监事会</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量化考核工作，</w:t>
      </w:r>
      <w:r>
        <w:rPr>
          <w:rFonts w:hint="eastAsia" w:ascii="仿宋_GB2312" w:hAnsi="仿宋_GB2312" w:eastAsia="仿宋_GB2312" w:cs="仿宋_GB2312"/>
          <w:color w:val="000000"/>
          <w:sz w:val="32"/>
          <w:szCs w:val="32"/>
          <w:lang w:eastAsia="zh-CN"/>
        </w:rPr>
        <w:t>及时更新调整考核内容，确保考核内容与年度重点工作同步推进，不断促进</w:t>
      </w:r>
      <w:r>
        <w:rPr>
          <w:rFonts w:hint="eastAsia" w:ascii="仿宋_GB2312" w:hAnsi="仿宋_GB2312" w:eastAsia="仿宋_GB2312" w:cs="仿宋_GB2312"/>
          <w:color w:val="000000"/>
          <w:sz w:val="32"/>
          <w:szCs w:val="32"/>
        </w:rPr>
        <w:t>监事会各项工作取得新成效。</w:t>
      </w:r>
      <w:r>
        <w:rPr>
          <w:rFonts w:hint="eastAsia" w:ascii="仿宋_GB2312" w:hAnsi="仿宋_GB2312" w:eastAsia="仿宋_GB2312" w:cs="仿宋_GB2312"/>
          <w:color w:val="000000"/>
          <w:sz w:val="32"/>
          <w:szCs w:val="32"/>
          <w:lang w:eastAsia="zh-CN"/>
        </w:rPr>
        <w:t>建立完善学习培训长效机制，</w:t>
      </w:r>
      <w:r>
        <w:rPr>
          <w:rFonts w:hint="eastAsia" w:ascii="仿宋_GB2312" w:hAnsi="仿宋_GB2312" w:eastAsia="仿宋_GB2312" w:cs="仿宋_GB2312"/>
          <w:color w:val="000000"/>
          <w:kern w:val="0"/>
          <w:sz w:val="32"/>
          <w:szCs w:val="32"/>
          <w:lang w:val="en-US" w:eastAsia="zh-CN" w:bidi="ar"/>
        </w:rPr>
        <w:t>补足知识短板、经验盲区、能力弱项，</w:t>
      </w:r>
      <w:r>
        <w:rPr>
          <w:rFonts w:hint="eastAsia" w:ascii="仿宋_GB2312" w:hAnsi="仿宋_GB2312" w:eastAsia="仿宋_GB2312" w:cs="仿宋_GB2312"/>
          <w:snapToGrid w:val="0"/>
          <w:color w:val="000000"/>
          <w:kern w:val="32"/>
          <w:sz w:val="32"/>
          <w:szCs w:val="32"/>
        </w:rPr>
        <w:t>加强监事会干部队伍的能力建设，提升监事会干部队伍的专业思维、专业素养、专业能力。</w:t>
      </w:r>
      <w:r>
        <w:rPr>
          <w:rFonts w:hint="eastAsia" w:ascii="仿宋_GB2312" w:hAnsi="仿宋_GB2312" w:eastAsia="仿宋_GB2312" w:cs="仿宋_GB2312"/>
          <w:color w:val="000000"/>
          <w:sz w:val="32"/>
          <w:szCs w:val="32"/>
          <w:lang w:eastAsia="zh-CN"/>
        </w:rPr>
        <w:t>切实提高监督工作的成效，不断强化监事会干部队伍的能力建设。</w:t>
      </w:r>
    </w:p>
    <w:sectPr>
      <w:footerReference r:id="rId5" w:type="default"/>
      <w:pgSz w:w="11906" w:h="16838"/>
      <w:pgMar w:top="2098" w:right="1474" w:bottom="1984"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8760748"/>
                          </w:sdtPr>
                          <w:sdtContent>
                            <w:p>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sdt>
                    <w:sdtPr>
                      <w:id w:val="-368760748"/>
                    </w:sdtPr>
                    <w:sdtContent>
                      <w:p>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sdtContent>
                  </w:sdt>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73"/>
    <w:rsid w:val="00000A0E"/>
    <w:rsid w:val="0001210B"/>
    <w:rsid w:val="000212FA"/>
    <w:rsid w:val="00027094"/>
    <w:rsid w:val="00050A8E"/>
    <w:rsid w:val="000758E0"/>
    <w:rsid w:val="0007669D"/>
    <w:rsid w:val="00082D65"/>
    <w:rsid w:val="00095ABE"/>
    <w:rsid w:val="000A3E91"/>
    <w:rsid w:val="000C236B"/>
    <w:rsid w:val="000D1046"/>
    <w:rsid w:val="000D6912"/>
    <w:rsid w:val="000F22F9"/>
    <w:rsid w:val="000F6302"/>
    <w:rsid w:val="00106871"/>
    <w:rsid w:val="00106CD3"/>
    <w:rsid w:val="00130EF6"/>
    <w:rsid w:val="0013311C"/>
    <w:rsid w:val="001369EF"/>
    <w:rsid w:val="0015178E"/>
    <w:rsid w:val="001609EA"/>
    <w:rsid w:val="001933D0"/>
    <w:rsid w:val="0019643C"/>
    <w:rsid w:val="001A3C87"/>
    <w:rsid w:val="001C2D37"/>
    <w:rsid w:val="001D35FD"/>
    <w:rsid w:val="001D3754"/>
    <w:rsid w:val="001D4E00"/>
    <w:rsid w:val="001D7552"/>
    <w:rsid w:val="00202550"/>
    <w:rsid w:val="00225C53"/>
    <w:rsid w:val="00231C1F"/>
    <w:rsid w:val="00244F06"/>
    <w:rsid w:val="00261459"/>
    <w:rsid w:val="00264711"/>
    <w:rsid w:val="0026483E"/>
    <w:rsid w:val="00265FF5"/>
    <w:rsid w:val="00296859"/>
    <w:rsid w:val="002A1E5D"/>
    <w:rsid w:val="002B0081"/>
    <w:rsid w:val="002B741A"/>
    <w:rsid w:val="002B7A0F"/>
    <w:rsid w:val="002C0A5C"/>
    <w:rsid w:val="002F0D10"/>
    <w:rsid w:val="002F543F"/>
    <w:rsid w:val="002F567A"/>
    <w:rsid w:val="00305D15"/>
    <w:rsid w:val="0031521C"/>
    <w:rsid w:val="00330834"/>
    <w:rsid w:val="003514AD"/>
    <w:rsid w:val="0035434B"/>
    <w:rsid w:val="00360076"/>
    <w:rsid w:val="00376C5A"/>
    <w:rsid w:val="003809E2"/>
    <w:rsid w:val="00387B3D"/>
    <w:rsid w:val="00392566"/>
    <w:rsid w:val="00394CD9"/>
    <w:rsid w:val="003C14CE"/>
    <w:rsid w:val="003C3CB7"/>
    <w:rsid w:val="003C3DD9"/>
    <w:rsid w:val="003C58C4"/>
    <w:rsid w:val="003D616E"/>
    <w:rsid w:val="003D672F"/>
    <w:rsid w:val="004008C6"/>
    <w:rsid w:val="004107D9"/>
    <w:rsid w:val="00413A96"/>
    <w:rsid w:val="00416C47"/>
    <w:rsid w:val="00423615"/>
    <w:rsid w:val="00427108"/>
    <w:rsid w:val="00432C60"/>
    <w:rsid w:val="004422A7"/>
    <w:rsid w:val="004475B3"/>
    <w:rsid w:val="00447AC5"/>
    <w:rsid w:val="00452E85"/>
    <w:rsid w:val="00472E0D"/>
    <w:rsid w:val="004A310A"/>
    <w:rsid w:val="004B5D6A"/>
    <w:rsid w:val="004E3F06"/>
    <w:rsid w:val="004E4220"/>
    <w:rsid w:val="0050784A"/>
    <w:rsid w:val="00513441"/>
    <w:rsid w:val="00513C06"/>
    <w:rsid w:val="0051496A"/>
    <w:rsid w:val="0051713D"/>
    <w:rsid w:val="00522EC9"/>
    <w:rsid w:val="00530206"/>
    <w:rsid w:val="0053120F"/>
    <w:rsid w:val="00535C73"/>
    <w:rsid w:val="005532CC"/>
    <w:rsid w:val="00572C3A"/>
    <w:rsid w:val="005A2C0C"/>
    <w:rsid w:val="005A3074"/>
    <w:rsid w:val="005B6239"/>
    <w:rsid w:val="005C0C6E"/>
    <w:rsid w:val="005C3DBB"/>
    <w:rsid w:val="005D5373"/>
    <w:rsid w:val="005D5BF1"/>
    <w:rsid w:val="005E04BB"/>
    <w:rsid w:val="005E2622"/>
    <w:rsid w:val="005F52F2"/>
    <w:rsid w:val="00602194"/>
    <w:rsid w:val="006118AB"/>
    <w:rsid w:val="006128FC"/>
    <w:rsid w:val="0063239D"/>
    <w:rsid w:val="00654C13"/>
    <w:rsid w:val="00655F0B"/>
    <w:rsid w:val="00661DAE"/>
    <w:rsid w:val="0067533C"/>
    <w:rsid w:val="006A01C6"/>
    <w:rsid w:val="006A24F3"/>
    <w:rsid w:val="006B2C64"/>
    <w:rsid w:val="006B47E1"/>
    <w:rsid w:val="006B69B7"/>
    <w:rsid w:val="006C14E6"/>
    <w:rsid w:val="006C5A4C"/>
    <w:rsid w:val="006C6FA0"/>
    <w:rsid w:val="006D37A5"/>
    <w:rsid w:val="006E4F0C"/>
    <w:rsid w:val="00704FB6"/>
    <w:rsid w:val="0070614D"/>
    <w:rsid w:val="0070697B"/>
    <w:rsid w:val="00714E2C"/>
    <w:rsid w:val="00721CD1"/>
    <w:rsid w:val="0073045F"/>
    <w:rsid w:val="00730DB1"/>
    <w:rsid w:val="00733B80"/>
    <w:rsid w:val="0073515E"/>
    <w:rsid w:val="0073698D"/>
    <w:rsid w:val="00741A3D"/>
    <w:rsid w:val="00761FCB"/>
    <w:rsid w:val="00764118"/>
    <w:rsid w:val="007755B9"/>
    <w:rsid w:val="00786564"/>
    <w:rsid w:val="00787A92"/>
    <w:rsid w:val="0079143F"/>
    <w:rsid w:val="007915F5"/>
    <w:rsid w:val="007B43B8"/>
    <w:rsid w:val="007C7725"/>
    <w:rsid w:val="007D1EE5"/>
    <w:rsid w:val="007D57AC"/>
    <w:rsid w:val="007E6079"/>
    <w:rsid w:val="007E695A"/>
    <w:rsid w:val="008102EA"/>
    <w:rsid w:val="00812FF9"/>
    <w:rsid w:val="008150FF"/>
    <w:rsid w:val="0082169C"/>
    <w:rsid w:val="00823CE6"/>
    <w:rsid w:val="00833742"/>
    <w:rsid w:val="0084622C"/>
    <w:rsid w:val="00852915"/>
    <w:rsid w:val="0086121E"/>
    <w:rsid w:val="00862024"/>
    <w:rsid w:val="00863B94"/>
    <w:rsid w:val="00880C91"/>
    <w:rsid w:val="00881278"/>
    <w:rsid w:val="008A1ABD"/>
    <w:rsid w:val="008A1C0E"/>
    <w:rsid w:val="008A3A9C"/>
    <w:rsid w:val="008A5E01"/>
    <w:rsid w:val="008B2702"/>
    <w:rsid w:val="008B2F5A"/>
    <w:rsid w:val="008B3BF6"/>
    <w:rsid w:val="008C100B"/>
    <w:rsid w:val="008C2576"/>
    <w:rsid w:val="008E36A9"/>
    <w:rsid w:val="0090578C"/>
    <w:rsid w:val="009100E1"/>
    <w:rsid w:val="00916D64"/>
    <w:rsid w:val="00922BB8"/>
    <w:rsid w:val="009328C3"/>
    <w:rsid w:val="00943371"/>
    <w:rsid w:val="00962376"/>
    <w:rsid w:val="00975B8E"/>
    <w:rsid w:val="009A0ABE"/>
    <w:rsid w:val="009A1D71"/>
    <w:rsid w:val="009C6CBE"/>
    <w:rsid w:val="009E491C"/>
    <w:rsid w:val="009F0924"/>
    <w:rsid w:val="009F2DBC"/>
    <w:rsid w:val="00A322C7"/>
    <w:rsid w:val="00A40723"/>
    <w:rsid w:val="00A44E73"/>
    <w:rsid w:val="00A4688D"/>
    <w:rsid w:val="00A55998"/>
    <w:rsid w:val="00A56AFA"/>
    <w:rsid w:val="00A82E35"/>
    <w:rsid w:val="00A8731E"/>
    <w:rsid w:val="00AA5EEE"/>
    <w:rsid w:val="00AB20C7"/>
    <w:rsid w:val="00AB5B33"/>
    <w:rsid w:val="00AB72A8"/>
    <w:rsid w:val="00AC5DB7"/>
    <w:rsid w:val="00AD6E86"/>
    <w:rsid w:val="00AF5A4B"/>
    <w:rsid w:val="00AF60CB"/>
    <w:rsid w:val="00B01876"/>
    <w:rsid w:val="00B11EDD"/>
    <w:rsid w:val="00B335FE"/>
    <w:rsid w:val="00B634B9"/>
    <w:rsid w:val="00BB6617"/>
    <w:rsid w:val="00BC19F8"/>
    <w:rsid w:val="00BD74C9"/>
    <w:rsid w:val="00BE2A0A"/>
    <w:rsid w:val="00BE7204"/>
    <w:rsid w:val="00BF1FCA"/>
    <w:rsid w:val="00C052C2"/>
    <w:rsid w:val="00C06A00"/>
    <w:rsid w:val="00C126B8"/>
    <w:rsid w:val="00C32E0A"/>
    <w:rsid w:val="00C352F5"/>
    <w:rsid w:val="00C37A4A"/>
    <w:rsid w:val="00C47129"/>
    <w:rsid w:val="00C5262D"/>
    <w:rsid w:val="00C53166"/>
    <w:rsid w:val="00C93EE4"/>
    <w:rsid w:val="00CB2D0A"/>
    <w:rsid w:val="00CB5F9E"/>
    <w:rsid w:val="00CD0AA6"/>
    <w:rsid w:val="00CD3877"/>
    <w:rsid w:val="00CF17AF"/>
    <w:rsid w:val="00D10C4D"/>
    <w:rsid w:val="00D440AA"/>
    <w:rsid w:val="00D45C8C"/>
    <w:rsid w:val="00D53CB4"/>
    <w:rsid w:val="00D55B3D"/>
    <w:rsid w:val="00D709EF"/>
    <w:rsid w:val="00D96F13"/>
    <w:rsid w:val="00DE007A"/>
    <w:rsid w:val="00DE22AF"/>
    <w:rsid w:val="00DE3D57"/>
    <w:rsid w:val="00E20D5C"/>
    <w:rsid w:val="00E270AC"/>
    <w:rsid w:val="00E47EA7"/>
    <w:rsid w:val="00E53247"/>
    <w:rsid w:val="00E75905"/>
    <w:rsid w:val="00E8763D"/>
    <w:rsid w:val="00EA44FF"/>
    <w:rsid w:val="00EA4710"/>
    <w:rsid w:val="00EA5AE6"/>
    <w:rsid w:val="00ED146E"/>
    <w:rsid w:val="00EE63EE"/>
    <w:rsid w:val="00EE758A"/>
    <w:rsid w:val="00F00DAA"/>
    <w:rsid w:val="00F02056"/>
    <w:rsid w:val="00F12930"/>
    <w:rsid w:val="00F1301A"/>
    <w:rsid w:val="00F15473"/>
    <w:rsid w:val="00F21A27"/>
    <w:rsid w:val="00F23B20"/>
    <w:rsid w:val="00F46AB9"/>
    <w:rsid w:val="00F47196"/>
    <w:rsid w:val="00F50F43"/>
    <w:rsid w:val="00F54741"/>
    <w:rsid w:val="00F55A18"/>
    <w:rsid w:val="00F645B6"/>
    <w:rsid w:val="00F6588B"/>
    <w:rsid w:val="00F70648"/>
    <w:rsid w:val="00F96088"/>
    <w:rsid w:val="00FA225E"/>
    <w:rsid w:val="00FB12AA"/>
    <w:rsid w:val="00FC0975"/>
    <w:rsid w:val="00FC0B2E"/>
    <w:rsid w:val="00FC671D"/>
    <w:rsid w:val="00FC7F4D"/>
    <w:rsid w:val="00FF5B01"/>
    <w:rsid w:val="12151F33"/>
    <w:rsid w:val="17FEB838"/>
    <w:rsid w:val="25844AE1"/>
    <w:rsid w:val="2B6F0BD2"/>
    <w:rsid w:val="2D8D178B"/>
    <w:rsid w:val="2DAD3B3F"/>
    <w:rsid w:val="2E7FBC43"/>
    <w:rsid w:val="2E977D22"/>
    <w:rsid w:val="310A7A3B"/>
    <w:rsid w:val="35F77A3B"/>
    <w:rsid w:val="3DDDEB76"/>
    <w:rsid w:val="3DDF9B0F"/>
    <w:rsid w:val="3FBEBC53"/>
    <w:rsid w:val="4FBEC859"/>
    <w:rsid w:val="5308853F"/>
    <w:rsid w:val="5DF34A72"/>
    <w:rsid w:val="6BFFBEE1"/>
    <w:rsid w:val="6F1695AC"/>
    <w:rsid w:val="6FFFFED8"/>
    <w:rsid w:val="73C335DA"/>
    <w:rsid w:val="73DD0EA4"/>
    <w:rsid w:val="769F02E5"/>
    <w:rsid w:val="77E5581E"/>
    <w:rsid w:val="7E674E71"/>
    <w:rsid w:val="7EEB1623"/>
    <w:rsid w:val="7F834203"/>
    <w:rsid w:val="7F96120F"/>
    <w:rsid w:val="7FB93DAE"/>
    <w:rsid w:val="7FE6B8E0"/>
    <w:rsid w:val="7FEFBA71"/>
    <w:rsid w:val="7FF5A36D"/>
    <w:rsid w:val="7FF84AF4"/>
    <w:rsid w:val="7FFB679B"/>
    <w:rsid w:val="7FFFA521"/>
    <w:rsid w:val="7FFFBFCD"/>
    <w:rsid w:val="8D15B763"/>
    <w:rsid w:val="9FFE7270"/>
    <w:rsid w:val="AF7D7084"/>
    <w:rsid w:val="AFEF9B02"/>
    <w:rsid w:val="B1DF6310"/>
    <w:rsid w:val="B7FD70D8"/>
    <w:rsid w:val="BB37366A"/>
    <w:rsid w:val="BFB94CDF"/>
    <w:rsid w:val="BFBD6AD7"/>
    <w:rsid w:val="C35F68A9"/>
    <w:rsid w:val="CB7FC029"/>
    <w:rsid w:val="D2BB625E"/>
    <w:rsid w:val="D7FF2279"/>
    <w:rsid w:val="D8FBD93E"/>
    <w:rsid w:val="DBBB4E4D"/>
    <w:rsid w:val="DCFC201E"/>
    <w:rsid w:val="DF545D26"/>
    <w:rsid w:val="DFBFDCE4"/>
    <w:rsid w:val="E16D71FC"/>
    <w:rsid w:val="E78FE1B7"/>
    <w:rsid w:val="E8BBD4C2"/>
    <w:rsid w:val="E8FEDDD4"/>
    <w:rsid w:val="EBD15D6A"/>
    <w:rsid w:val="EDF70334"/>
    <w:rsid w:val="EFCF15A8"/>
    <w:rsid w:val="EFF7ABA0"/>
    <w:rsid w:val="F7EF84FD"/>
    <w:rsid w:val="FBB448E6"/>
    <w:rsid w:val="FD4BB0B0"/>
    <w:rsid w:val="FEEF1DB4"/>
    <w:rsid w:val="FF7B2532"/>
    <w:rsid w:val="FFAB9C76"/>
    <w:rsid w:val="FFC596A4"/>
    <w:rsid w:val="FFFFA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仿宋" w:hAnsi="仿宋" w:eastAsia="仿宋" w:cstheme="minorBidi"/>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Lines="0" w:afterLines="0"/>
      <w:ind w:left="102"/>
    </w:pPr>
    <w:rPr>
      <w:rFonts w:hint="eastAsia" w:ascii="宋体" w:hAnsi="宋体" w:eastAsia="宋体"/>
      <w:sz w:val="29"/>
    </w:rPr>
  </w:style>
  <w:style w:type="paragraph" w:styleId="3">
    <w:name w:val="Title"/>
    <w:basedOn w:val="1"/>
    <w:next w:val="1"/>
    <w:qFormat/>
    <w:uiPriority w:val="0"/>
    <w:pPr>
      <w:spacing w:line="600" w:lineRule="exact"/>
      <w:jc w:val="center"/>
      <w:outlineLvl w:val="0"/>
    </w:pPr>
    <w:rPr>
      <w:rFonts w:ascii="Times New Roman" w:hAnsi="Times New Roman" w:eastAsia="方正小标宋简体" w:cs="Times New Roman"/>
      <w:bCs/>
      <w:sz w:val="44"/>
      <w:szCs w:val="32"/>
      <w:lang w:bidi="ar-SA"/>
    </w:rPr>
  </w:style>
  <w:style w:type="paragraph" w:styleId="4">
    <w:name w:val="Plain Text"/>
    <w:basedOn w:val="1"/>
    <w:link w:val="15"/>
    <w:qFormat/>
    <w:uiPriority w:val="0"/>
    <w:pPr>
      <w:widowControl w:val="0"/>
      <w:spacing w:line="240" w:lineRule="auto"/>
    </w:pPr>
    <w:rPr>
      <w:rFonts w:ascii="宋体" w:hAnsi="Courier New" w:eastAsia="宋体" w:cs="Courier New"/>
      <w:sz w:val="21"/>
      <w:szCs w:val="21"/>
    </w:rPr>
  </w:style>
  <w:style w:type="paragraph" w:styleId="5">
    <w:name w:val="Balloon Text"/>
    <w:basedOn w:val="1"/>
    <w:link w:val="14"/>
    <w:semiHidden/>
    <w:unhideWhenUsed/>
    <w:qFormat/>
    <w:uiPriority w:val="99"/>
    <w:pPr>
      <w:spacing w:line="240" w:lineRule="auto"/>
    </w:pPr>
    <w:rPr>
      <w:sz w:val="18"/>
      <w:szCs w:val="18"/>
    </w:rPr>
  </w:style>
  <w:style w:type="paragraph" w:styleId="6">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qFormat/>
    <w:uiPriority w:val="0"/>
    <w:pPr>
      <w:widowControl w:val="0"/>
      <w:spacing w:before="100" w:beforeAutospacing="1" w:after="100" w:afterAutospacing="1"/>
    </w:pPr>
    <w:rPr>
      <w:rFonts w:ascii="宋体" w:hAnsi="Times New Roman" w:eastAsia="宋体" w:cs="Times New Roman"/>
      <w:kern w:val="2"/>
      <w:sz w:val="24"/>
      <w:szCs w:val="21"/>
      <w:lang w:val="en-US" w:eastAsia="zh-CN" w:bidi="ar-SA"/>
    </w:rPr>
  </w:style>
  <w:style w:type="character" w:styleId="11">
    <w:name w:val="Emphasis"/>
    <w:qFormat/>
    <w:uiPriority w:val="20"/>
    <w:rPr>
      <w:color w:val="CC0000"/>
      <w:sz w:val="24"/>
      <w:szCs w:val="24"/>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框文本 字符"/>
    <w:basedOn w:val="10"/>
    <w:link w:val="5"/>
    <w:semiHidden/>
    <w:qFormat/>
    <w:uiPriority w:val="99"/>
    <w:rPr>
      <w:kern w:val="2"/>
      <w:sz w:val="18"/>
      <w:szCs w:val="18"/>
    </w:rPr>
  </w:style>
  <w:style w:type="character" w:customStyle="1" w:styleId="15">
    <w:name w:val="纯文本 字符"/>
    <w:basedOn w:val="10"/>
    <w:link w:val="4"/>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2645</Words>
  <Characters>2674</Characters>
  <Lines>19</Lines>
  <Paragraphs>5</Paragraphs>
  <TotalTime>3</TotalTime>
  <ScaleCrop>false</ScaleCrop>
  <LinksUpToDate>false</LinksUpToDate>
  <CharactersWithSpaces>2763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2022-02-21T03:08:00Z</dcterms:created>
  <dc:creator>Windows User</dc:creator>
  <cp:lastModifiedBy>gxxc</cp:lastModifiedBy>
  <cp:lastPrinted>2024-03-28T00:09:00Z</cp:lastPrinted>
  <dcterms:modified xsi:type="dcterms:W3CDTF">2024-03-28T10:43:23Z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8ADFC3C8A4694E6F92EEA0B5A5F91739</vt:lpwstr>
  </property>
</Properties>
</file>